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邵阳市科学技术局</w:t>
      </w:r>
      <w:r>
        <w:rPr>
          <w:rFonts w:hint="eastAsia" w:ascii="楷体" w:hAnsi="楷体" w:eastAsia="楷体" w:cs="楷体"/>
          <w:sz w:val="32"/>
          <w:szCs w:val="32"/>
        </w:rPr>
        <w:t>　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5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科技活动周系列宣传活动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及科技三下乡活动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科普作品、科普讲解大赛及科技三下乡活动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段邵宁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杨程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万元；其他　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月起至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年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三定方案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10"/>
                <w:szCs w:val="1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科普活动是以科普为主题开展的一种有组织、有目的的群体性活动,其目的就是向公众传播科学技术知识,弘扬科学精神。科普活动是群众文化活动的一项重要内容,开展各类科普活动,可以让群众了解科学知识和技术。科普活动的目的在于宣传科学精神、科学技术、科学知识,提高群众的科技文化素养。</w:t>
            </w:r>
            <w:r>
              <w:rPr>
                <w:rFonts w:hint="eastAsia" w:ascii="楷体" w:hAnsi="楷体" w:eastAsia="楷体" w:cs="楷体"/>
                <w:sz w:val="10"/>
                <w:szCs w:val="1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应采购金额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        实际采购金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邵阳市科技局财务管理制度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开展检查，对项目进度、资金使用情况进行全方位的监督。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  <w:vAlign w:val="top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邵阳市科技局财务管理制度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组织开展科普作品大赛、科普讲解大赛及三下乡活动，组织开展市科技活动周启动仪式。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组织科普培训班四期，开展了各式各样的科普活动惠及广大人民群众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发放了科普宣传品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5万多份，开展了各式各样的科普活动惠及广大人民群众，有效提高了人民群众的科学素质。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单位填报内容的客观真实性进行审核，并对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单位的自评结论签具是否认定的意见。</w:t>
            </w: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段邵宁</w:t>
      </w:r>
      <w:r>
        <w:rPr>
          <w:rFonts w:hint="eastAsia" w:ascii="楷体" w:hAnsi="楷体" w:eastAsia="楷体" w:cs="楷体"/>
          <w:sz w:val="32"/>
          <w:szCs w:val="32"/>
        </w:rPr>
        <w:t>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杨程程</w:t>
      </w:r>
    </w:p>
    <w:p>
      <w:pPr>
        <w:spacing w:line="480" w:lineRule="exac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游国富</w:t>
      </w: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zQxNTBiNDk2MDdiOWRiOTkxNDMwYjMwOWJkNDUifQ=="/>
  </w:docVars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A400DB1"/>
    <w:rsid w:val="0F811861"/>
    <w:rsid w:val="29646EB0"/>
    <w:rsid w:val="315B4602"/>
    <w:rsid w:val="3790261F"/>
    <w:rsid w:val="37E94CEE"/>
    <w:rsid w:val="38B34B32"/>
    <w:rsid w:val="38F53ECF"/>
    <w:rsid w:val="38F62FCF"/>
    <w:rsid w:val="3F4D432C"/>
    <w:rsid w:val="4B134E8F"/>
    <w:rsid w:val="4C9C51D7"/>
    <w:rsid w:val="4DD01F2C"/>
    <w:rsid w:val="4E055C01"/>
    <w:rsid w:val="4EF46CD3"/>
    <w:rsid w:val="4F927292"/>
    <w:rsid w:val="596B393A"/>
    <w:rsid w:val="59BF2347"/>
    <w:rsid w:val="5CF53A3C"/>
    <w:rsid w:val="603B3733"/>
    <w:rsid w:val="61773296"/>
    <w:rsid w:val="630A642E"/>
    <w:rsid w:val="654A4C44"/>
    <w:rsid w:val="65CD260A"/>
    <w:rsid w:val="68851984"/>
    <w:rsid w:val="705A49A7"/>
    <w:rsid w:val="72BE7802"/>
    <w:rsid w:val="76C018C2"/>
    <w:rsid w:val="77446B18"/>
    <w:rsid w:val="795906D8"/>
    <w:rsid w:val="7B163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930</Words>
  <Characters>951</Characters>
  <Lines>42</Lines>
  <Paragraphs>12</Paragraphs>
  <TotalTime>1</TotalTime>
  <ScaleCrop>false</ScaleCrop>
  <LinksUpToDate>false</LinksUpToDate>
  <CharactersWithSpaces>1182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??</cp:lastModifiedBy>
  <dcterms:modified xsi:type="dcterms:W3CDTF">2022-07-20T04:44:59Z</dcterms:modified>
  <dc:title>邵 阳 市 财 政 局 文 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C5C82579A9224D77811DBBD0B025867F</vt:lpwstr>
  </property>
</Properties>
</file>