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color w:val="000000"/>
          <w:sz w:val="32"/>
          <w:szCs w:val="32"/>
          <w:lang w:val="en-US" w:eastAsia="zh-CN"/>
        </w:rPr>
      </w:pPr>
      <w:r>
        <w:rPr>
          <w:rFonts w:hint="eastAsia"/>
          <w:b/>
          <w:color w:val="000000"/>
          <w:sz w:val="32"/>
          <w:szCs w:val="32"/>
          <w:lang w:eastAsia="zh-CN"/>
        </w:rPr>
        <w:t>附件</w:t>
      </w:r>
      <w:r>
        <w:rPr>
          <w:rFonts w:hint="eastAsia"/>
          <w:b/>
          <w:color w:val="000000"/>
          <w:sz w:val="32"/>
          <w:szCs w:val="32"/>
          <w:lang w:val="en-US" w:eastAsia="zh-CN"/>
        </w:rPr>
        <w:t>2：</w:t>
      </w:r>
    </w:p>
    <w:p>
      <w:pPr>
        <w:ind w:left="0" w:firstLine="643" w:firstLineChars="200"/>
        <w:jc w:val="center"/>
        <w:rPr>
          <w:b/>
          <w:color w:val="000000"/>
          <w:sz w:val="32"/>
          <w:szCs w:val="32"/>
          <w:lang w:eastAsia="zh-CN"/>
        </w:rPr>
      </w:pPr>
    </w:p>
    <w:p>
      <w:pPr>
        <w:ind w:left="0" w:firstLine="643" w:firstLineChars="200"/>
        <w:jc w:val="center"/>
        <w:rPr>
          <w:rFonts w:hint="eastAsia" w:ascii="宋体" w:hAnsi="宋体" w:eastAsia="宋体" w:cs="宋体"/>
          <w:b w:val="0"/>
          <w:bCs/>
          <w:kern w:val="0"/>
          <w:sz w:val="24"/>
          <w:szCs w:val="24"/>
        </w:rPr>
      </w:pPr>
      <w:r>
        <w:rPr>
          <w:b/>
          <w:color w:val="000000"/>
          <w:sz w:val="32"/>
          <w:szCs w:val="32"/>
          <w:lang w:eastAsia="zh-CN"/>
        </w:rPr>
        <w:t>邵阳市科学技术</w:t>
      </w:r>
      <w:r>
        <w:rPr>
          <w:rFonts w:hint="eastAsia"/>
          <w:b/>
          <w:color w:val="000000"/>
          <w:sz w:val="32"/>
          <w:szCs w:val="32"/>
          <w:lang w:val="en-US" w:eastAsia="zh-CN"/>
        </w:rPr>
        <w:t>局</w:t>
      </w:r>
      <w:r>
        <w:rPr>
          <w:b/>
          <w:color w:val="000000"/>
          <w:sz w:val="32"/>
          <w:szCs w:val="32"/>
          <w:lang w:val="en-US"/>
        </w:rPr>
        <w:t>2020</w:t>
      </w:r>
      <w:r>
        <w:rPr>
          <w:b/>
          <w:color w:val="000000"/>
          <w:sz w:val="32"/>
          <w:szCs w:val="32"/>
          <w:lang w:eastAsia="zh-CN"/>
        </w:rPr>
        <w:t>年度部门整体支出绩效报告</w:t>
      </w:r>
    </w:p>
    <w:p>
      <w:pPr>
        <w:pStyle w:val="7"/>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p>
    <w:p>
      <w:pPr>
        <w:pStyle w:val="7"/>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一、部门概况</w:t>
      </w:r>
    </w:p>
    <w:p>
      <w:pPr>
        <w:pStyle w:val="7"/>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（一）部门基本情况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1、编制、机构设置及在职人员情况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根据《邵阳市人民政府办公室关于印发邵阳市科学技术局主要职责内设机构和人员编制规定的通知》（市政办发【2010】25号）文件及《邵阳市人民政府办公室关于邵阳市科学技术局职能配置、内部机构和机构编制调整的通知》（邵市办字【2019】39号）文件规定，市</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局设行政编22名，7个内设机构：办公室、政策法规科、发展计划科、农村与社会发展科、</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成果与技术市场管理科、高新技术发展科、监督与专利管理科。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2020年实有在职干部职工22人，退休干部职工27人，合计49人。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2、主要职能</w:t>
      </w:r>
    </w:p>
    <w:p>
      <w:pPr>
        <w:pStyle w:val="7"/>
        <w:keepNext w:val="0"/>
        <w:keepLines w:val="0"/>
        <w:widowControl/>
        <w:suppressLineNumbers w:val="0"/>
        <w:spacing w:before="0" w:beforeAutospacing="0"/>
        <w:ind w:left="0" w:firstLine="540"/>
        <w:jc w:val="both"/>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邵阳市科学技术局贯彻落实党中央关于</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创新工作的方针政策和决策部署，全面落实省委和市委关于</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创新工作的部署要求，在履行职责过程中坚持和加强党对</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创新工作的集中统一领导，主要职责是：1、贯彻创新驱动发展战略和创新引领开放崛起战略，拟订全市</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发展、引进国外智力规划和政策并组织实施。2、统筹推进全市创新体系建设和</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体制改革，会同有关部门健全技术创新激励机制，优化科研体系建设，指导科研机构改革发展，推动企业</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创新能力建设，承担推进</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军民融合发展相关工作，推进全市重大</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决策咨询制度建设。拟订科学普及和科学传播规划、政策。统筹推进创新型城市建设。3、牵头建立统一的市级</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管理平台和科研项目资金协调、评估、监管机制。会同有关部门提出优化配置</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资源的政策措施建议，推动多元化</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投入体系建设，协同管理市级财政</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计划（专项、基金等）并监督实施。4、拟订全市基础研究规划、政策和标准并组织实施，组织协调市级重大基础研究和应用基础研究。拟订重大</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创新基地建设规划并监督实施，牵头组织市重点实验室等重大</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创新基地建设，推动科研条件保障建设和</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资源开放共享。5、编制市级重大</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项目计划并监督实施，统筹关键共性技术、前沿引领技术、现代工程技术、颠覆性技术研发和创新，牵头组织重大技术攻关和成果应用示范。6、组织拟订高新技术发展及产业化、</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促进农业农村和社会发展的规划、政策和措施。组织开展重点领域技术发展需求分析，提出重大任务并监督实施。7、牵头市级技术转移体系建设，拟订</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成果转移转化和促进产学研结合的相关政策措施并监督实施，指导</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服务业、技术市场、</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金融结合和</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中介组织发展。8、统筹区域</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创新体系建设，指导区域创新发展、</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资源合理布局和协同创新能力建设，推动</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园区建设。9、负责</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监督评价体系建设和相关</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评估管理，指导</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评价机制改革，统筹科研城信建设，组织实施全市创新调查和</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报告制度，指导全市</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保密工作。10、拟订</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对外交往与创新能力开放合作的规划、政策和措施，组织开展国际和区域</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合作与</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人才交流。指导相关部门和地方对外</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合作与</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人才交流工作。11、负责引进国外和国内智力工作。拟订全市重点引进外国专家总体规划、计划并组织实施，建立国外和国内顶尖科学家、团队吸引集聚机制和重点国内外专家联系服务机制，拟订出国（境）培训总体规划、政策和年度计划并监督实施。12、会同有关部门拟订</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人才队伍建设规划和政策，建立健全</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人才评价和激励机制，组织实施</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人才计划，推动高端</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创新人才队伍建设。13、完成市委、市政府交办的其他任务。14、职能转变，围绕贯彻实施科教兴国战略、人才强国战略、创新驱动发展战略和创新引领开放崛起战略，加强、优化、转变政府</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管理和服务职能，完善</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创新制度和组织体系，加强宏观管理和统筹协调，减少微观管理和具体审批事项，加强事中事后监管和科研诚信建设，从研发管理向创新服务转变，深入推进</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计划管理改革，建立公开统一的市级</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管理平台，减少</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计划项目配置中的重复、分散、封闭、低效现象，进一步改进</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人才评价机制，建立健全以创新能力、质量、贡献、绩效为导向的</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人才评价机体系和激励政策，统筹市内</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人才队伍建设和引进国外智力工作。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firstLine="0" w:firstLineChars="0"/>
        <w:jc w:val="left"/>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（二）部门整体支出规模、使用方向和主要内容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firstLine="540" w:firstLineChars="200"/>
        <w:jc w:val="left"/>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1、整体支出规模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firstLine="540" w:firstLineChars="200"/>
        <w:jc w:val="left"/>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2020年全年总支出为691.94万元</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使用方向和主要内容</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ind w:right="0" w:rightChars="0" w:firstLine="540" w:firstLineChars="200"/>
        <w:jc w:val="left"/>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（1）资金使用方向：科学技术支出606.78万元、社会保障和就业支出36.62万元、卫生健康支出26.09万元 、住房保障支出22.45万元。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（2）资金主要内容：工资福利支出393.84万元，商品和服务支出180.81万元，对个人和家庭的补助59.65万元，资本性支出8.65万元，对企事业单位的补贴49万元。</w:t>
      </w:r>
    </w:p>
    <w:p>
      <w:pPr>
        <w:pStyle w:val="7"/>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二、部门整体支出管理及使用情况</w:t>
      </w:r>
    </w:p>
    <w:p>
      <w:pPr>
        <w:pStyle w:val="7"/>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（一）、预算执行情况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（1）</w:t>
      </w:r>
      <w:r>
        <w:rPr>
          <w:rFonts w:hint="eastAsia" w:cs="宋体"/>
          <w:kern w:val="0"/>
          <w:sz w:val="27"/>
          <w:szCs w:val="27"/>
          <w:shd w:val="clear" w:fill="FFFFFF"/>
          <w:lang w:eastAsia="zh-CN"/>
        </w:rPr>
        <w:t>、</w:t>
      </w:r>
      <w:r>
        <w:rPr>
          <w:rFonts w:hint="eastAsia" w:ascii="宋体" w:hAnsi="宋体" w:eastAsia="宋体" w:cs="宋体"/>
          <w:kern w:val="0"/>
          <w:sz w:val="27"/>
          <w:szCs w:val="27"/>
          <w:shd w:val="clear" w:fill="FFFFFF"/>
        </w:rPr>
        <w:t>加强预算绩效管理基础工作</w:t>
      </w:r>
    </w:p>
    <w:p>
      <w:pPr>
        <w:pStyle w:val="7"/>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及时传达有关加强预算管理的文件，成立局预算绩效管理工作领导小组，局长任组长，党组成员任副组长，各科室科长任组员，分工明确，责任到人，制定了预算绩效管理制度和预算绩效管理工作实施方案，加强预算资金的管理和使用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（2）、制定预算绩效目标管理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根据市财政局有关专项资金绩效目标申报要求，我们及时安排人员在编制2020年财政预算的同时，按照《专项资金绩效申报表》和《项目绩效目标申报表》格式要求，依据相关法律、法规和市委市政府的规定进行认真的申报，并制定了阶段性和年度绩效目标，在规定时间内及时送财政局相关科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（3）、有效加强绩效运行监控</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建立健全绩效运行监控机制，制定绩效运行制度，制定财政资金的使用管理办法，加强对财政资金的合理使用，本着厉行节约、反对浪费要求，严格控制在年度预算和计划范围内，使财政资金发挥最大效用。为了确保绩效目标项目如期完成，局绩效领导小组指定专人负责绩效项目，定期检查项目完成情况并向局预算绩效领导小组汇报，对在实施过程中出现的问题，绩效领导小组及时进行总结和纠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（二）基本支出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1、工资福利支出主要用途、范围：主要包含人员基本工资、津贴补贴、社会保障缴费等人员经费；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2、商品和服务支出：主要包含办公费、电费、其他交通费、差旅费、招待费、劳务费、工会经费等；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3、对个人和家庭的补助：主要包含离退休人员的经费、抚恤金及其他对个人及家庭补助支出等。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4、资金管理情况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根据省市有关财政资金的使用要求，我局严格制定财政资金的使用管理办法，加强对财政资金的合理使用，本着厉行节约、反对浪费的要求，全年各项开支严格控制在年度预算和计划范围内，使财政资金发挥最大效能。严格加强对“三公”经费的使用管理，对公务接待、车辆使用和外出学习考察制定了相应的管理制度。要求公务接待不超标准，控制陪同人员，中午禁止喝酒，禁止用高档酒，加强车辆使用管理，车辆由专人负责，禁止公车私用，双休日和节假日车辆必须停市政府停车坪，要求车辆维修保养必须到财政指定的定点单位进行，严格控制人员外出学习考察。2020年“三公”经费决算总支出12</w:t>
      </w:r>
      <w:r>
        <w:rPr>
          <w:rFonts w:hint="eastAsia" w:cs="宋体"/>
          <w:kern w:val="0"/>
          <w:sz w:val="27"/>
          <w:szCs w:val="27"/>
          <w:shd w:val="clear" w:fill="FFFFFF"/>
          <w:lang w:val="en-US" w:eastAsia="zh-CN"/>
        </w:rPr>
        <w:t>.6</w:t>
      </w:r>
      <w:r>
        <w:rPr>
          <w:rFonts w:hint="eastAsia" w:ascii="宋体" w:hAnsi="宋体" w:eastAsia="宋体" w:cs="宋体"/>
          <w:kern w:val="0"/>
          <w:sz w:val="27"/>
          <w:szCs w:val="27"/>
          <w:shd w:val="clear" w:fill="FFFFFF"/>
        </w:rPr>
        <w:t>万元，其中因公出国（境）经费0万元，公务接待费2.6</w:t>
      </w:r>
      <w:r>
        <w:rPr>
          <w:rFonts w:hint="eastAsia" w:cs="宋体"/>
          <w:kern w:val="0"/>
          <w:sz w:val="27"/>
          <w:szCs w:val="27"/>
          <w:shd w:val="clear" w:fill="FFFFFF"/>
          <w:lang w:val="en-US" w:eastAsia="zh-CN"/>
        </w:rPr>
        <w:t>8</w:t>
      </w:r>
      <w:r>
        <w:rPr>
          <w:rFonts w:hint="eastAsia" w:ascii="宋体" w:hAnsi="宋体" w:eastAsia="宋体" w:cs="宋体"/>
          <w:kern w:val="0"/>
          <w:sz w:val="27"/>
          <w:szCs w:val="27"/>
          <w:shd w:val="clear" w:fill="FFFFFF"/>
        </w:rPr>
        <w:t>万元，公务用车及运行维护费9.92万元（其中：公务用车购置费0万元，公务用车运行费9.92万元）。2020年公务用车运行维护费和公务接待费没有超出本年预算，我们将继续按照中央、省和市委市政府要求，</w:t>
      </w:r>
      <w:bookmarkStart w:id="0" w:name="_GoBack"/>
      <w:bookmarkEnd w:id="0"/>
      <w:r>
        <w:rPr>
          <w:rFonts w:hint="eastAsia" w:ascii="宋体" w:hAnsi="宋体" w:eastAsia="宋体" w:cs="宋体"/>
          <w:kern w:val="0"/>
          <w:sz w:val="27"/>
          <w:szCs w:val="27"/>
          <w:shd w:val="clear" w:fill="FFFFFF"/>
        </w:rPr>
        <w:t>厉行节约，继续严控“三公”经费。</w:t>
      </w:r>
    </w:p>
    <w:p>
      <w:pPr>
        <w:pStyle w:val="7"/>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（三）、专项支出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我局负责全市2020年度邵阳市应用技术研究与开发资金168万元，资本性支出8.65万元，对企事业单位的补贴49万元。</w:t>
      </w:r>
    </w:p>
    <w:p>
      <w:pPr>
        <w:pStyle w:val="7"/>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三、资产管理情况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我局的办公用房座落在邵阳市城北路16号，面积为1419平方米，其他固定资产比较简单，主要是办公设备和车辆。为了加强对单位固定资产的有效管理，我局制定了相应的资产管理办法，个人使用的办公用品，由个人负责保管，处置不能用的固定资产时，先由保管人提出，分管领导确认，达到使用年限或无法维修，报局主要领导同意后，由财务人员填写«行政事业单位国有资产处置申报、审批表»，经单位主要领导签审核意见，报财政部门同意后方进行资产处置，并及时将处置所得现金存入财政指定账户。本单位2020年新增账面价值为86500元的固定资产，已经市财政局审批并进行了政府采购。</w:t>
      </w:r>
    </w:p>
    <w:p>
      <w:pPr>
        <w:pStyle w:val="7"/>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四、绩效评价工作情况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2020年整体部门绩效工作，在市委市政府和省</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厅的正确领导下，我局在全国抗疫的大环境下，结合我市实际，努力开展工作并取得了一定的成效：到11月底止，全市引进高新技术企业63家，申请高新技术企业认定206家，通过评审和公示企业190家，其中新申请认定158家。预计到年底，全市高新企业总量达329家，同比增长101.84%；全市高新技术产业增加值为284.95亿元，超过全省平均水平；R&amp;D经费投入为34.5亿元，投入强度为1.5%，市委提出的高新技术企业倍增计划将全面完成，2020年各项工作任务和单位的主要工作职责已全面履行。</w:t>
      </w:r>
    </w:p>
    <w:p>
      <w:pPr>
        <w:pStyle w:val="7"/>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五、综合评价情况及评价结论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基本完成2020年各项工作任务，履行了单位的主要工作职责,自评分为94分。</w:t>
      </w:r>
    </w:p>
    <w:p>
      <w:pPr>
        <w:pStyle w:val="7"/>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六、部门整体支出绩效情况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2020年，我局在全国抗疫的大环境下，结合我市实际，努力开展工作并取得了一定的成效：</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r>
        <w:rPr>
          <w:rFonts w:hint="eastAsia" w:cs="宋体"/>
          <w:kern w:val="0"/>
          <w:sz w:val="27"/>
          <w:szCs w:val="27"/>
          <w:shd w:val="clear" w:fill="FFFFFF"/>
          <w:lang w:val="en-US" w:eastAsia="zh-CN"/>
        </w:rPr>
        <w:t>1、</w:t>
      </w:r>
      <w:r>
        <w:rPr>
          <w:rFonts w:hint="eastAsia" w:ascii="宋体" w:hAnsi="宋体" w:eastAsia="宋体" w:cs="宋体"/>
          <w:kern w:val="0"/>
          <w:sz w:val="27"/>
          <w:szCs w:val="27"/>
          <w:shd w:val="clear" w:fill="FFFFFF"/>
        </w:rPr>
        <w:t>培育高新企业，推进高新技术产业发展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一是实施高新技术企业倍增计划。为抓住湘南湘西承接产业转移示范区这个我市国家级层面的最大平台、史上最大的发展机遇，扩大高新技术企业的规模、提高高新技术企业的质量、增加高新技术企业的投入，我局联合有关部门提出了《实施高新技术企业倍增计划》的草案。经市政府常务会、市委常委会研究审定以后，5月6日，以市委办、市政府办的名义出台了《关于实施高新技术企业倍增计划的激励措施》（邵市办发〔2020〕5号）。文件出台以后，社会反响大，很多企业致电咨询，要求认定高新技术企业。到目前为止，我市共推荐申请高新企业认定206家，其中第一批76家，第二批130家，190家通过认定。预计到2020年底全市高新企业达到约329家，同比增长101.84%，增速排名全省第1位，总量在大湘西片区排名第2位。二是积极开展高企认定业务培训，做好认定服务。今年4月28日，在邵阳经开区组织召开了2020年度“高新技术企业培育服务季”活动启动仪式暨培训会，同时在各县（市）均设立了分会场。培育服务季从4月开始，6月初结束，活动期间共开展了三次培训活动，共有225家企业350余人参加了培训。培训会主要就高新技术企业认定政策、研发费用归集、高新技术企业所得税优惠政策等内容进行专题宣讲，提高了全市申请高企认定的积极性。</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firstLine="540" w:firstLineChars="200"/>
        <w:jc w:val="both"/>
        <w:textAlignment w:val="auto"/>
        <w:rPr>
          <w:rFonts w:hint="eastAsia" w:ascii="宋体" w:hAnsi="宋体" w:eastAsia="宋体" w:cs="宋体"/>
          <w:kern w:val="0"/>
          <w:sz w:val="27"/>
          <w:szCs w:val="27"/>
          <w:shd w:val="clear" w:fill="FFFFFF"/>
        </w:rPr>
      </w:pPr>
      <w:r>
        <w:rPr>
          <w:rFonts w:hint="eastAsia" w:cs="宋体"/>
          <w:kern w:val="0"/>
          <w:sz w:val="27"/>
          <w:szCs w:val="27"/>
          <w:shd w:val="clear" w:fill="FFFFFF"/>
          <w:lang w:val="en-US" w:eastAsia="zh-CN"/>
        </w:rPr>
        <w:t>2、</w:t>
      </w:r>
      <w:r>
        <w:rPr>
          <w:rFonts w:hint="eastAsia" w:ascii="宋体" w:hAnsi="宋体" w:eastAsia="宋体" w:cs="宋体"/>
          <w:kern w:val="0"/>
          <w:sz w:val="27"/>
          <w:szCs w:val="27"/>
          <w:shd w:val="clear" w:fill="FFFFFF"/>
        </w:rPr>
        <w:t>加强创新平台建设，提高</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供给侧的能力水平</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一是在去年首次认定20家市级星创天地的基础上，今年又发展了19家，目前，我市共有国家级星创天地7家，省星创天地18家，市级星创天地39家。9月，推荐洞口县亿丰农林牧</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有限公司的“亿丰农林油茶星创天地”等3个项目备案2020年度湖南省星创天地项目，省级以上星创天地总数继续排在全省前列。二是加强湖南省临床医疗技术示范基地建设。截止目前，我市共创建省级临床医疗技术示范基地3个。今年又有邵阳市中心医院申报的“湖南省呼吸疾病临床医疗技术示范基地”和邵阳学院附属第一医院“湖南省儿童康复临床医疗技术示范基地”等5个项目进行申报。三是推动创新型县市区建设。在去年邵东市成功获批湖南省首批创新型县市区的基础上，今年，我市的双清区也在积极申报，以</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创新引领经济社会高质量发展，努力建设省级创新型县区。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cs="宋体"/>
          <w:kern w:val="0"/>
          <w:sz w:val="27"/>
          <w:szCs w:val="27"/>
          <w:shd w:val="clear" w:fill="FFFFFF"/>
          <w:lang w:val="en-US" w:eastAsia="zh-CN"/>
        </w:rPr>
        <w:t>3</w:t>
      </w:r>
      <w:r>
        <w:rPr>
          <w:rFonts w:hint="eastAsia" w:ascii="宋体" w:hAnsi="宋体" w:eastAsia="宋体" w:cs="宋体"/>
          <w:kern w:val="0"/>
          <w:sz w:val="27"/>
          <w:szCs w:val="27"/>
          <w:shd w:val="clear" w:fill="FFFFFF"/>
        </w:rPr>
        <w:t>、加大项目争取力度，夯实</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发展基础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一是做好项目申报工作。湖南科瑞生物制药股份有限公司的“植物胆固醇系列产品专利成果产业化”、湖南神怡医疗器械有限公司的“臭氧发生器医疗消毒设备的研发与推广应用”两个项目获得</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部的</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助力经济2020重点专项立项。维克液压、邵纺机、高华工贸、小快智造、邵阳学院等单位获省创新引领项目，预计将获得经费2000万元。“G8.5超薄玻璃基板和超薄柔性玻璃研发”（实施单位：湖南特种玻璃研究院有限公司）和“竹基增强材料制备运动滑板技术研究与示范”（实施单位：湖南省丰源体育</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有限公司）两个项目已纳入省“100个”重大</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创新项目。今年我市五个“100”重大</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创新项目超倍完成年度投资，形象进度和实施成效良好。二是积极组织企业研发准备金制度备案与财政奖补申报推荐工作。根据省</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厅《关于开展2020年企业研发准备金制度和2019年度奖补资金分配使用情况备案工作的通知》和《关于开展2020年企业研发财政奖补资金申报工作的通知》，充分利用互联网手段和省项目信息系统服务平台，组织开展企业研发准备金制度备案和财政奖补资金申报网上审核推荐等业务，先后完成了217家企业的研发准备金制度备案、83家企业的本年度研发奖补资金申报资料的审核推荐工作，获研发奖补企业和奖补资金额与上年比实现翻番。全市获奖补企业由2019年32家增加到2020年78家，享受奖补资金总额从2019年1243.84万元增加到2020年2961.33万元，增速分别为146.9%和144.8%。特别是三一专汽获得最高奖补1千万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cs="宋体"/>
          <w:kern w:val="0"/>
          <w:sz w:val="27"/>
          <w:szCs w:val="27"/>
          <w:shd w:val="clear" w:fill="FFFFFF"/>
          <w:lang w:val="en-US" w:eastAsia="zh-CN"/>
        </w:rPr>
        <w:t>4</w:t>
      </w:r>
      <w:r>
        <w:rPr>
          <w:rFonts w:hint="eastAsia" w:ascii="宋体" w:hAnsi="宋体" w:eastAsia="宋体" w:cs="宋体"/>
          <w:kern w:val="0"/>
          <w:sz w:val="27"/>
          <w:szCs w:val="27"/>
          <w:shd w:val="clear" w:fill="FFFFFF"/>
        </w:rPr>
        <w:t>、优化创新氛围，提高服务水平</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一是积极筹备创新创业大赛。2020年在全球疫情的困境中，联合市工信局、市经开区和市科协一起举办第三届创新创业大赛，全市报名参赛企业达到103个，创三年来新高。36个参赛项目参加市级决赛并获奖，8个项目得到省优胜奖。市媒体对10多家创新创业先进典型进行了宣传报道，营造了很好的创新创业氛围。二是增强全市</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创新意识。8月开展</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活动周，定期开展</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下乡、项目申报培训等活动，在云邵阳、邵阳日报、邵阳文明网、红网、邵阳日报等平台上传播科普知识，宣传科学活动，报道</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创新经验做法，树立</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典型。三是聚焦产业发展，加强高端人才引进培养。围绕邵阳市区发展需求，我局继续推进国家和省千人外专项目、万人计划等重大人才项目引进培育工作，扎实做好引智引才工作。北塔区引进外国专业技术人才2名、新加坡留学博士1名、高级职称技术人员2名。开展培训，培育本土技术人才。实施我市“海外专家引智项目”和“农业引智示范推广项目”，申报了立项海外专家引智项目6个。四是实施守信激励和失信惩戒活动。根据《合作备忘录》的内容，联合发改、财政、环保等部门实施守信联合激励和失信联合惩戒。通过“互联网+监管”系统初步实现了企业诚信信息共享，为联合激励和失信惩戒提供依据。并且对列入失信惩戒名单的信用主体实施信用提醒、诚信约谈、重点监管、作出限制、联合惩戒的措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cs="宋体"/>
          <w:kern w:val="0"/>
          <w:sz w:val="27"/>
          <w:szCs w:val="27"/>
          <w:shd w:val="clear" w:fill="FFFFFF"/>
          <w:lang w:val="en-US" w:eastAsia="zh-CN"/>
        </w:rPr>
        <w:t>5</w:t>
      </w:r>
      <w:r>
        <w:rPr>
          <w:rFonts w:hint="eastAsia" w:ascii="宋体" w:hAnsi="宋体" w:eastAsia="宋体" w:cs="宋体"/>
          <w:kern w:val="0"/>
          <w:sz w:val="27"/>
          <w:szCs w:val="27"/>
          <w:shd w:val="clear" w:fill="FFFFFF"/>
        </w:rPr>
        <w:t>、搭建产学研桥梁，积极推进</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成果转移转化。</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一是全市共完成</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型中小企业评价入库企业340家，实现技术合同交易登记额9.2亿元，完成入库计划的113.33%，圆满完成了2020年度省</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厅分配给我市300家</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型中小企业入库的工作任务，比2019年的61家增加了279家，同比增长457.37%，说明我市的</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型中小企业数量不断增加，进一步促进了</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成果转移转化。二是做好2020年度湖南省科学技术奖提名推荐工作。5月13日，邀请了省奖励办的领导，在邵阳学院举行了“2020年度省科学技术奖励工作政策宣讲培训会”。科研院所、高等院校和医院的专家教授以及高新技术企业的负责人参加了培训，提高了全市申报湖南省科学技术奖的积极性，全市共推荐10个项目申报省科学技术奖，其中4个项目通过网络评审和公示。三是举办第二届邵阳市产学研合作对接会。计划在12月中旬，将联合邵阳经开区和邵阳学院共同举办第二届邵阳市产学研合作对接会，进一步促进高等院校、科研院所、</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中介服务机构的科研项目在全市转移转化。</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cs="宋体"/>
          <w:kern w:val="0"/>
          <w:sz w:val="27"/>
          <w:szCs w:val="27"/>
          <w:shd w:val="clear" w:fill="FFFFFF"/>
          <w:lang w:val="en-US" w:eastAsia="zh-CN"/>
        </w:rPr>
        <w:t>6</w:t>
      </w:r>
      <w:r>
        <w:rPr>
          <w:rFonts w:hint="eastAsia" w:ascii="宋体" w:hAnsi="宋体" w:eastAsia="宋体" w:cs="宋体"/>
          <w:kern w:val="0"/>
          <w:sz w:val="27"/>
          <w:szCs w:val="27"/>
          <w:shd w:val="clear" w:fill="FFFFFF"/>
        </w:rPr>
        <w:t>、组织</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下乡，助力乡村振兴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一是保质保量地完成了</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三下乡活动。今年1月、6月、8月，我局分别在武冈大甸镇易地扶贫搬迁安置小区、武冈德江村和隆回县金石桥镇开展了</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三下乡活动。在易地扶贫搬迁安置小区捐赠了2万元现金，三次活动现场都为群众提供了面对面的咨询答疑服务，累计接受群众咨询共800余人次，发放各类</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宣传资料1500余份。二是积极开展</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专家服务团工作。2020年组建了519人的</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专家服务团，实现了12个县市区</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专家服务团全覆盖，</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人员联村帮扶全覆盖。立足于“一县一品”，每个专家服务团根据自身特色，举办“村播带货”</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服务工作，发展农业新业态新模式，助力脱贫攻坚、乡村振兴。3月与5月，我局组织了市农科院的专家分别在双清区渡头桥镇两塘村无花果基地与洞口县今年新申报的4家星创天地进行技术指导。7月</w:t>
      </w:r>
      <w:r>
        <w:rPr>
          <w:rFonts w:hint="eastAsia" w:ascii="宋体" w:hAnsi="宋体" w:eastAsia="宋体" w:cs="宋体"/>
          <w:kern w:val="0"/>
          <w:sz w:val="27"/>
          <w:szCs w:val="27"/>
          <w:shd w:val="clear" w:fill="FFFFFF"/>
        </w:rPr>
        <w:tab/>
      </w:r>
      <w:r>
        <w:rPr>
          <w:rFonts w:hint="eastAsia" w:ascii="宋体" w:hAnsi="宋体" w:eastAsia="宋体" w:cs="宋体"/>
          <w:kern w:val="0"/>
          <w:sz w:val="27"/>
          <w:szCs w:val="27"/>
          <w:shd w:val="clear" w:fill="FFFFFF"/>
        </w:rPr>
        <w:t>在邵阳市智丰职业学校举办了“乡村振兴之农产品抖音带货专题培训班”活动。全年扶贫资金60万元。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cs="宋体"/>
          <w:kern w:val="0"/>
          <w:sz w:val="27"/>
          <w:szCs w:val="27"/>
          <w:shd w:val="clear" w:fill="FFFFFF"/>
          <w:lang w:val="en-US" w:eastAsia="zh-CN"/>
        </w:rPr>
        <w:t>7</w:t>
      </w:r>
      <w:r>
        <w:rPr>
          <w:rFonts w:hint="eastAsia" w:ascii="宋体" w:hAnsi="宋体" w:eastAsia="宋体" w:cs="宋体"/>
          <w:kern w:val="0"/>
          <w:sz w:val="27"/>
          <w:szCs w:val="27"/>
          <w:shd w:val="clear" w:fill="FFFFFF"/>
        </w:rPr>
        <w:t>、统筹谋划，抓好党建、扶贫及廉洁单位创建工作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一是做好党建及创廉洁单位工作。市</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局严格遵循中央、省委、市委有关党建工作的规定，做好党建工作，每月组织一次党日活动。领导班子带头自觉学习政治理论知识，和习近平新时代中国特色社会主义思想。自年初以来，市</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局已召开7次中心组理论学习，2次有关廉政工作会议，1次廉洁单位创建知识抢答赛。并组织全体职工观看警示教育片《初心迷失》。在局网络、办公楼走廊、电子屏等宣传平台来号召大家保持初心，尽忠职守，廉洁奉公，实现党建及廉洁单位创建工作的常态化。二是做好</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扶贫工作。今年我局四个扶贫村共实施7个项目，其中泉溪村4个扶贫项目建设我局给予资金40万，解决了32户101名贫困人口的生产生活困难。德江村通过四个产业扶贫项目，</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局给予资金20万元，项目自筹200万元。三是做好创文工作。我局始终把精神文明建设作为一项长期性、综合性的系统工程来抓。全年组织全局干部职工不定期开展行之有效的群众精神文明建设活动及志愿服务活动，对照市创文办下达的任务指标，积极开展</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三下乡、</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活动周、建立健全守信信联合激励或失信联合惩戒的联动机制、关爱困难群众、残疾人、贫困户、乡村振兴战略等志愿服务活动共计18次。</w:t>
      </w:r>
    </w:p>
    <w:p>
      <w:pPr>
        <w:pStyle w:val="7"/>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七、存在的问题</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1、全社会R＆D投入、财政</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投入等省绩效考核重点指标离目标值差距较大，投入不足成为长期制约我市</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创新发展的重要因素；国家高新技术园区、国家重点实验室等创新创业平台还未实现零的突破，一些省市平台在科研产出、成果转化等方面效果不明显，经济效益和社会效益不足；</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2、上一轮机构改革县级</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部门职能弱化，对</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基础工作的影响呈放大趋势。</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both"/>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3、财政预算资金不足，职业年金均未列入预算，单位支出资金缺口大。</w:t>
      </w:r>
    </w:p>
    <w:p>
      <w:pPr>
        <w:pStyle w:val="7"/>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八、改进措施和有关建议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增加财政预算资金，弥补人员经费支出和日常公用支出缺口，为更好开展全市的</w:t>
      </w:r>
      <w:r>
        <w:rPr>
          <w:rFonts w:hint="eastAsia" w:cs="宋体"/>
          <w:kern w:val="0"/>
          <w:sz w:val="27"/>
          <w:szCs w:val="27"/>
          <w:shd w:val="clear" w:fill="FFFFFF"/>
          <w:lang w:eastAsia="zh-CN"/>
        </w:rPr>
        <w:t>科学技术</w:t>
      </w:r>
      <w:r>
        <w:rPr>
          <w:rFonts w:hint="eastAsia" w:ascii="宋体" w:hAnsi="宋体" w:eastAsia="宋体" w:cs="宋体"/>
          <w:kern w:val="0"/>
          <w:sz w:val="27"/>
          <w:szCs w:val="27"/>
          <w:shd w:val="clear" w:fill="FFFFFF"/>
        </w:rPr>
        <w:t>工作提供基础。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p>
    <w:p>
      <w:pPr>
        <w:spacing w:line="600" w:lineRule="exact"/>
        <w:rPr>
          <w:rFonts w:ascii="宋体" w:hAnsi="宋体" w:cs="宋体"/>
          <w:kern w:val="0"/>
          <w:sz w:val="32"/>
          <w:szCs w:val="32"/>
        </w:rPr>
      </w:pP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201</w:t>
            </w:r>
            <w:r>
              <w:rPr>
                <w:rFonts w:hint="eastAsia" w:ascii="仿宋_GB2312" w:hAnsi="宋体" w:eastAsia="仿宋_GB2312" w:cs="宋体"/>
                <w:kern w:val="0"/>
                <w:sz w:val="20"/>
                <w:szCs w:val="20"/>
              </w:rPr>
              <w:t>9年度非税实际收入完成数/</w:t>
            </w:r>
            <w:r>
              <w:rPr>
                <w:rFonts w:ascii="仿宋_GB2312" w:hAnsi="宋体" w:eastAsia="仿宋_GB2312" w:cs="宋体"/>
                <w:kern w:val="0"/>
                <w:sz w:val="20"/>
                <w:szCs w:val="20"/>
              </w:rPr>
              <w:t>201</w:t>
            </w:r>
            <w:r>
              <w:rPr>
                <w:rFonts w:hint="eastAsia" w:ascii="仿宋_GB2312" w:hAnsi="宋体" w:eastAsia="仿宋_GB2312" w:cs="宋体"/>
                <w:kern w:val="0"/>
                <w:sz w:val="20"/>
                <w:szCs w:val="20"/>
              </w:rPr>
              <w:t>9年度非税收入预算数）×100%，有减免因素的，以非税局确定的为准。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cs="宋体"/>
                <w:kern w:val="0"/>
                <w:sz w:val="24"/>
                <w:highlight w:val="yellow"/>
              </w:rPr>
            </w:pPr>
            <w:r>
              <w:rPr>
                <w:rFonts w:hint="eastAsia" w:ascii="宋体" w:hAnsi="宋体" w:cs="宋体"/>
                <w:kern w:val="0"/>
                <w:sz w:val="24"/>
                <w:highlight w:val="yellow"/>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w:t>
            </w:r>
            <w:r>
              <w:rPr>
                <w:rFonts w:hint="eastAsia" w:ascii="仿宋_GB2312" w:hAnsi="宋体" w:eastAsia="仿宋_GB2312" w:cs="宋体"/>
                <w:kern w:val="0"/>
                <w:sz w:val="20"/>
                <w:szCs w:val="20"/>
                <w:lang w:val="en-US" w:eastAsia="zh-CN"/>
              </w:rPr>
              <w:t>9</w:t>
            </w:r>
            <w:r>
              <w:rPr>
                <w:rFonts w:hint="eastAsia" w:ascii="仿宋_GB2312" w:hAnsi="宋体" w:eastAsia="仿宋_GB2312" w:cs="宋体"/>
                <w:kern w:val="0"/>
                <w:sz w:val="20"/>
                <w:szCs w:val="20"/>
              </w:rPr>
              <w:t>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w:t>
            </w:r>
            <w:r>
              <w:rPr>
                <w:rFonts w:hint="eastAsia" w:ascii="仿宋_GB2312" w:hAnsi="宋体" w:eastAsia="仿宋_GB2312" w:cs="宋体"/>
                <w:kern w:val="0"/>
                <w:sz w:val="20"/>
                <w:szCs w:val="20"/>
                <w:lang w:val="en-US" w:eastAsia="zh-CN"/>
              </w:rPr>
              <w:t>20</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19</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w:t>
            </w:r>
            <w:r>
              <w:rPr>
                <w:rFonts w:hint="eastAsia" w:ascii="仿宋_GB2312" w:hAnsi="宋体" w:eastAsia="仿宋_GB2312" w:cs="宋体"/>
                <w:kern w:val="0"/>
                <w:sz w:val="20"/>
                <w:szCs w:val="20"/>
                <w:lang w:val="en-US" w:eastAsia="zh-CN"/>
              </w:rPr>
              <w:t>9</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w:t>
            </w:r>
            <w:r>
              <w:rPr>
                <w:rFonts w:hint="eastAsia" w:ascii="仿宋_GB2312" w:hAnsi="宋体" w:eastAsia="仿宋_GB2312" w:cs="宋体"/>
                <w:kern w:val="0"/>
                <w:sz w:val="20"/>
                <w:szCs w:val="20"/>
                <w:lang w:val="en-US" w:eastAsia="zh-CN"/>
              </w:rPr>
              <w:t>9</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19</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noWrap w:val="0"/>
            <w:vAlign w:val="center"/>
          </w:tcPr>
          <w:p>
            <w:pP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top"/>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val="en-US" w:eastAsia="zh-CN"/>
              </w:rPr>
              <w:t>2020</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9</w:t>
            </w:r>
            <w:r>
              <w:rPr>
                <w:rFonts w:hint="eastAsia" w:ascii="宋体" w:hAnsi="宋体" w:cs="宋体"/>
                <w:kern w:val="0"/>
                <w:sz w:val="24"/>
                <w:lang w:val="en-US" w:eastAsia="zh-CN"/>
              </w:rPr>
              <w:t>4</w:t>
            </w:r>
          </w:p>
        </w:tc>
      </w:tr>
    </w:tbl>
    <w:p>
      <w:pPr>
        <w:pStyle w:val="7"/>
        <w:keepNext w:val="0"/>
        <w:keepLines w:val="0"/>
        <w:pageBreakBefore w:val="0"/>
        <w:widowControl/>
        <w:suppressLineNumbers w:val="0"/>
        <w:kinsoku/>
        <w:wordWrap/>
        <w:overflowPunct/>
        <w:topLinePunct w:val="0"/>
        <w:autoSpaceDE/>
        <w:autoSpaceDN/>
        <w:bidi w:val="0"/>
        <w:adjustRightInd/>
        <w:snapToGrid/>
        <w:spacing w:before="0" w:beforeAutospacing="0"/>
        <w:ind w:left="0" w:firstLine="540" w:firstLineChars="200"/>
        <w:jc w:val="left"/>
        <w:textAlignment w:val="auto"/>
        <w:rPr>
          <w:rFonts w:hint="eastAsia" w:ascii="宋体" w:hAnsi="宋体" w:eastAsia="宋体" w:cs="宋体"/>
          <w:kern w:val="0"/>
          <w:sz w:val="27"/>
          <w:szCs w:val="27"/>
          <w:shd w:val="clear" w:fill="FFFFFF"/>
        </w:rPr>
      </w:pPr>
    </w:p>
    <w:p>
      <w:pPr>
        <w:pStyle w:val="3"/>
        <w:shd w:val="clear" w:fill="FFFFFF"/>
        <w:jc w:val="center"/>
        <w:rPr>
          <w:rFonts w:hint="eastAsia" w:ascii="宋体" w:hAnsi="宋体" w:eastAsia="宋体" w:cs="宋体"/>
          <w:kern w:val="0"/>
          <w:sz w:val="36"/>
          <w:szCs w:val="36"/>
          <w:shd w:val="clear" w:fill="FFFFFF"/>
        </w:rPr>
      </w:pPr>
    </w:p>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BFF67C"/>
    <w:multiLevelType w:val="singleLevel"/>
    <w:tmpl w:val="EEBFF67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MzQxNTBiNDk2MDdiOWRiOTkxNDMwYjMwOWJkNDUifQ=="/>
  </w:docVars>
  <w:rsids>
    <w:rsidRoot w:val="0FD86C97"/>
    <w:rsid w:val="0F482D33"/>
    <w:rsid w:val="0FD86C97"/>
    <w:rsid w:val="35F346A0"/>
    <w:rsid w:val="61E11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6">
    <w:name w:val="page number"/>
    <w:basedOn w:val="5"/>
    <w:uiPriority w:val="0"/>
  </w:style>
  <w:style w:type="paragraph" w:customStyle="1" w:styleId="7">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7293</Words>
  <Characters>7603</Characters>
  <Lines>0</Lines>
  <Paragraphs>0</Paragraphs>
  <TotalTime>2</TotalTime>
  <ScaleCrop>false</ScaleCrop>
  <LinksUpToDate>false</LinksUpToDate>
  <CharactersWithSpaces>7608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2022-07-19T10:38:00Z</dcterms:created>
  <dc:creator>壮志凌云</dc:creator>
  <cp:lastModifiedBy>??</cp:lastModifiedBy>
  <dcterms:modified xsi:type="dcterms:W3CDTF">2022-07-20T03:39:50Z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5BDD08F834F54E358289BDB9410FD30C</vt:lpwstr>
  </property>
</Properties>
</file>